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C" w:rsidRPr="00954E92" w:rsidRDefault="00954E92" w:rsidP="00954E92">
      <w:pPr>
        <w:jc w:val="center"/>
        <w:rPr>
          <w:b/>
        </w:rPr>
      </w:pPr>
      <w:r w:rsidRPr="00954E92">
        <w:rPr>
          <w:b/>
        </w:rPr>
        <w:t>VERBALE RIUNIONE COLLEGIALE IN VIDEOCONFERENZA PLESSO COLORNI</w:t>
      </w:r>
    </w:p>
    <w:p w:rsidR="00954E92" w:rsidRDefault="00954E92"/>
    <w:p w:rsidR="00954E92" w:rsidRPr="00954E92" w:rsidRDefault="00954E92" w:rsidP="004A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1/4/2020 </w:t>
      </w:r>
      <w:r w:rsidR="00BB78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ore 15.00 </w:t>
      </w:r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della scuola secondaria “</w:t>
      </w:r>
      <w:proofErr w:type="spellStart"/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Colorni</w:t>
      </w:r>
      <w:proofErr w:type="spellEnd"/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si riuniscono in videoconferenza come da invito del dirigente scolastico del 26/03/2020 per discutere il seguente </w:t>
      </w:r>
      <w:proofErr w:type="spellStart"/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odg</w:t>
      </w:r>
      <w:proofErr w:type="spellEnd"/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54E92" w:rsidRPr="00954E92" w:rsidRDefault="00954E92" w:rsidP="004A74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Didattica a distanza – verifica modalità e proposte per il prosieguo delle attività. Eventuale rimodulazione della programmazione.</w:t>
      </w:r>
    </w:p>
    <w:p w:rsidR="00954E92" w:rsidRPr="00954E92" w:rsidRDefault="00954E92" w:rsidP="004A74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Valutazione – strumenti e obiettivi (i docenti sono invitati a prendere visione della pagina sul nuovo sito dedicata a questo tema, dove è possibile trovare riferimenti normativi, alcune riflessioni ed alcuni strumenti utili - </w:t>
      </w:r>
      <w:hyperlink r:id="rId5" w:history="1">
        <w:r w:rsidRPr="009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https://www.icsgattamelata.edu.it/la-valutazione/</w:t>
        </w:r>
      </w:hyperlink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954E92" w:rsidRPr="00954E92" w:rsidRDefault="00954E92" w:rsidP="004A74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</w:t>
      </w:r>
    </w:p>
    <w:p w:rsidR="00954E92" w:rsidRDefault="00954E92" w:rsidP="0095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Risultano collegati i seguenti docenti:</w:t>
      </w:r>
    </w:p>
    <w:tbl>
      <w:tblPr>
        <w:tblW w:w="2821" w:type="dxa"/>
        <w:tblCellMar>
          <w:left w:w="0" w:type="dxa"/>
          <w:right w:w="0" w:type="dxa"/>
        </w:tblCellMar>
        <w:tblLook w:val="04A0"/>
      </w:tblPr>
      <w:tblGrid>
        <w:gridCol w:w="1273"/>
        <w:gridCol w:w="1548"/>
      </w:tblGrid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Aiello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Sandra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Benedetti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Barbara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Bonfiglio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Caterina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Antonietta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Brocardo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Teresa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Cacciapaglia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Annamaria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Capaldo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Stefania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Carbone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Concetta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Cecchini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Barbara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Chiarella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Bernadette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Cicero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Pina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Colombo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Donata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Conigliaro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Adele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</w:t>
            </w: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Acquino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D'Alessandro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Angelo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D’angelo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Donzella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Gaffuri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 Lia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Garda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manuela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Gilyte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Ernesta</w:t>
            </w:r>
            <w:proofErr w:type="spellEnd"/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Gitto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Salvatore 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Guerrisi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Mario Sergio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Imbergamo</w:t>
            </w:r>
            <w:proofErr w:type="spellEnd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Giuseppe 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Leonetti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Annamaria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Lombardo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Idia</w:t>
            </w:r>
            <w:proofErr w:type="spellEnd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Maria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Luchini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Marialuisa</w:t>
            </w:r>
            <w:proofErr w:type="spellEnd"/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annelli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imona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Cenacchi</w:t>
            </w:r>
            <w:proofErr w:type="spellEnd"/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Marucchi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Nappo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Negri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Elisabetta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Nizzero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Camilla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Noale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Pagnin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Barbara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lessandra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Pomante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Cristiano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Preite</w:t>
            </w:r>
            <w:proofErr w:type="spellEnd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Nicoletta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Pulvino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Giuseppina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otolo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rancesca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Salvoni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Sonia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Sammartino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Gaia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Santarelli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Cesare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antu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ntonio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Servadio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tellino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abrina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arantino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assimo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Giada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rentin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P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  <w:r w:rsidRPr="00954E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iovanna</w:t>
            </w:r>
          </w:p>
        </w:tc>
      </w:tr>
      <w:tr w:rsidR="00954E92" w:rsidRPr="00954E92" w:rsidTr="00954E92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Venturi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54E92" w:rsidRDefault="00954E92" w:rsidP="0095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</w:p>
        </w:tc>
      </w:tr>
    </w:tbl>
    <w:p w:rsidR="00954E92" w:rsidRDefault="00954E92" w:rsidP="0095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0F0" w:rsidRDefault="00954E92" w:rsidP="004A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Punto 1. Il dirigente scolastico illustra il documento (</w:t>
      </w:r>
      <w:hyperlink r:id="rId6" w:history="1">
        <w:r w:rsidRPr="009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https://www.icsgattamelata.edu.it/didattica-a-distanza-parliamo-di-competenze/</w:t>
        </w:r>
      </w:hyperlink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inviato a tutti i docenti relativo alla rimodulazione della programmazione, la valutazione delle competenze e la griglia di valutazione. </w:t>
      </w:r>
      <w:r w:rsidR="00E57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Cita, in particolare il lavoro sui diari di bordo avviato dalle prof.sse Negri, </w:t>
      </w:r>
      <w:proofErr w:type="spellStart"/>
      <w:r w:rsidR="00E570F0">
        <w:rPr>
          <w:rFonts w:ascii="Times New Roman" w:eastAsia="Times New Roman" w:hAnsi="Times New Roman" w:cs="Times New Roman"/>
          <w:sz w:val="24"/>
          <w:szCs w:val="24"/>
          <w:lang w:eastAsia="it-IT"/>
        </w:rPr>
        <w:t>Trentin</w:t>
      </w:r>
      <w:proofErr w:type="spellEnd"/>
      <w:r w:rsidR="00E57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E570F0">
        <w:rPr>
          <w:rFonts w:ascii="Times New Roman" w:eastAsia="Times New Roman" w:hAnsi="Times New Roman" w:cs="Times New Roman"/>
          <w:sz w:val="24"/>
          <w:szCs w:val="24"/>
          <w:lang w:eastAsia="it-IT"/>
        </w:rPr>
        <w:t>Conigliaro</w:t>
      </w:r>
      <w:proofErr w:type="spellEnd"/>
      <w:r w:rsidR="00E57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D’Angelo ed altri insegnanti dei primi due anni di corso. </w:t>
      </w:r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registrano </w:t>
      </w:r>
      <w:r w:rsidR="00E570F0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numerosi interventi di seguito riassunti:</w:t>
      </w:r>
    </w:p>
    <w:p w:rsidR="00E570F0" w:rsidRPr="00E570F0" w:rsidRDefault="00E570F0" w:rsidP="004A744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70F0">
        <w:rPr>
          <w:rFonts w:ascii="Times New Roman" w:eastAsia="Times New Roman" w:hAnsi="Times New Roman" w:cs="Times New Roman"/>
          <w:sz w:val="24"/>
          <w:szCs w:val="24"/>
          <w:lang w:eastAsia="it-IT"/>
        </w:rPr>
        <w:t>preoccupazione per il notevole carico di lavoro (Bonfiglio),</w:t>
      </w:r>
    </w:p>
    <w:p w:rsidR="00954E92" w:rsidRDefault="00E570F0" w:rsidP="004A744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compiti di realtà sono già in qualche misura stati attivati; è necessario </w:t>
      </w:r>
      <w:r w:rsidRPr="00E570F0">
        <w:rPr>
          <w:rFonts w:ascii="Times New Roman" w:eastAsia="Times New Roman" w:hAnsi="Times New Roman" w:cs="Times New Roman"/>
          <w:sz w:val="24"/>
          <w:szCs w:val="24"/>
          <w:lang w:eastAsia="it-IT"/>
        </w:rPr>
        <w:t>mantenere il ritmo (Mannelli)</w:t>
      </w:r>
    </w:p>
    <w:p w:rsidR="00E570F0" w:rsidRDefault="00E570F0" w:rsidP="004A744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video lezioni stanno dando un buon risultato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E570F0" w:rsidRDefault="00E570F0" w:rsidP="004A744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compiti di realtà non sostituiscono, ma affiancano il lavoro consueto sul programma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Conigliaro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E570F0" w:rsidRDefault="00E570F0" w:rsidP="004A744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particolare per le lingue si tiene soprattutto conto dell’orale e si porta avanti il programma (Nappo);</w:t>
      </w:r>
    </w:p>
    <w:p w:rsidR="00E570F0" w:rsidRDefault="00E570F0" w:rsidP="004A744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insegnanti di strumento fanno lezioni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integrate da invio audio (Garda);</w:t>
      </w:r>
    </w:p>
    <w:p w:rsidR="00E570F0" w:rsidRPr="00E570F0" w:rsidRDefault="00E570F0" w:rsidP="004A744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attenzione ad inclusione: avviata classe SOS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aiuto insegnanti di sostegno; si fa leva sul senso di responsabilità e si sono avute buone risposte da ragazzi non sempre diligenti; positiva la sperimentazione di quiz con Google Moduli;</w:t>
      </w:r>
    </w:p>
    <w:p w:rsidR="00954E92" w:rsidRDefault="00E570F0" w:rsidP="004A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ds chiarisce che non viene proposto di sostituire quanto attualmente si sta facendo con modalità didattiche differenti, ma propone di approfittare di questo momento per </w:t>
      </w:r>
      <w:r w:rsidR="004A744C">
        <w:rPr>
          <w:rFonts w:ascii="Times New Roman" w:eastAsia="Times New Roman" w:hAnsi="Times New Roman" w:cs="Times New Roman"/>
          <w:sz w:val="24"/>
          <w:szCs w:val="24"/>
          <w:lang w:eastAsia="it-IT"/>
        </w:rPr>
        <w:t>dedicarsi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</w:t>
      </w:r>
      <w:r w:rsidR="004A74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attività che possano coinvolgere maggiormente i ragazzi e che richiedano una fase di produzione. In questo momento non bisogna essere legati all’adempimento e c’è la possibilità di sperimentare. Fa presente che molti stanno attuando metodologie ch</w:t>
      </w:r>
      <w:r w:rsidR="00D418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implicano la valutazione di competenze, pertanto è necessario validare una rubrica di valutazione. </w:t>
      </w:r>
      <w:r w:rsidR="004A744C">
        <w:rPr>
          <w:rFonts w:ascii="Times New Roman" w:eastAsia="Times New Roman" w:hAnsi="Times New Roman" w:cs="Times New Roman"/>
          <w:sz w:val="24"/>
          <w:szCs w:val="24"/>
          <w:lang w:eastAsia="it-IT"/>
        </w:rPr>
        <w:t>Si discute della proposta di griglia presentata dal ds.</w:t>
      </w:r>
    </w:p>
    <w:p w:rsidR="00D418F5" w:rsidRPr="00954E92" w:rsidRDefault="00D418F5" w:rsidP="004A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prof.ssa Bonfiglio non è certa sia il caso di mantenere la voce riguardante l’accertamento dell’autonomia. Dopo ampia discussione si stabilisce di mantenere le voci relative all’autonomia e di considerarle in positivo, ovvero che vengano indicate quando è possibile </w:t>
      </w:r>
      <w:r w:rsidR="004A74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valutarla </w:t>
      </w:r>
      <w:r w:rsidR="004A744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compiutamente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cosa non scontata nel caso di attività a distanza. Il ds insiste sul fatto che è</w:t>
      </w:r>
      <w:r w:rsidRPr="00D418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importante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D418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valutazione sia effettuata </w:t>
      </w:r>
      <w:r w:rsidRPr="00D418F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nell’ottica del riconoscimento e della valorizzazione del percorso fatto, più che dell’accertamento delle carenze, </w:t>
      </w:r>
      <w:r w:rsidRPr="00D418F5">
        <w:rPr>
          <w:rFonts w:ascii="Times New Roman" w:eastAsia="Times New Roman" w:hAnsi="Times New Roman" w:cs="Times New Roman"/>
          <w:sz w:val="24"/>
          <w:szCs w:val="24"/>
          <w:lang w:eastAsia="it-IT"/>
        </w:rPr>
        <w:t>soprattutto per gli alunni che sono all’ultimo anno. Bisogna inoltre curare di non penalizzare gli alunni che, a causa di insufficiente disponibilità di dispositivi o di una connessione inadeguata, o di altri fattori esterni (contesto familiare, socioeconomico, etc.) non abbiano seguito le indicazioni dei docenti con la puntualità che sarebbe stata necessaria.</w:t>
      </w:r>
    </w:p>
    <w:p w:rsidR="00954E92" w:rsidRPr="00954E92" w:rsidRDefault="00D418F5" w:rsidP="004A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passa alla votazione, attuata attraverso un modulo google: 47 favorevoli, 1 contrario, 1 astenuto. Viene approvata la griglia di valutazione che viene allegata</w:t>
      </w:r>
      <w:r w:rsidR="00813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scelta di procedere con valutazioni formative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954E92" w:rsidRPr="00954E92" w:rsidRDefault="00954E92" w:rsidP="004A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13F93" w:rsidRDefault="00954E92" w:rsidP="004A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Punto 2. Il dirigente scolastico illustra il documento relativo agli strumenti per la valutazione inviato a tutti i docenti (</w:t>
      </w:r>
      <w:hyperlink r:id="rId7" w:history="1">
        <w:r w:rsidRPr="009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https://www.icsgattamelata.edu.it/la-valutazione/</w:t>
        </w:r>
      </w:hyperlink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</w:p>
    <w:p w:rsidR="00954E92" w:rsidRPr="00954E92" w:rsidRDefault="00813F93" w:rsidP="004A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queste settimane sono stati utilizzati diversi strumenti per la valutazione</w:t>
      </w:r>
      <w:r w:rsidR="00CD10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4A744C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numerosi</w:t>
      </w:r>
      <w:r w:rsidR="00CD10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docenti intervengono presentando la loro esperienza. In particolare vengono utilizzati quiz somministrati attraverso diverse piattaforme (google moduli, test Zanichelli, </w:t>
      </w:r>
      <w:proofErr w:type="spellStart"/>
      <w:r w:rsidR="00CD1082">
        <w:rPr>
          <w:rFonts w:ascii="Times New Roman" w:eastAsia="Times New Roman" w:hAnsi="Times New Roman" w:cs="Times New Roman"/>
          <w:sz w:val="24"/>
          <w:szCs w:val="24"/>
          <w:lang w:eastAsia="it-IT"/>
        </w:rPr>
        <w:t>quizizz</w:t>
      </w:r>
      <w:proofErr w:type="spellEnd"/>
      <w:r w:rsidR="00CD1082">
        <w:rPr>
          <w:rFonts w:ascii="Times New Roman" w:eastAsia="Times New Roman" w:hAnsi="Times New Roman" w:cs="Times New Roman"/>
          <w:sz w:val="24"/>
          <w:szCs w:val="24"/>
          <w:lang w:eastAsia="it-IT"/>
        </w:rPr>
        <w:t>), mappe concettuali, diari di bordo, presentazioni, video.</w:t>
      </w:r>
    </w:p>
    <w:p w:rsidR="00954E92" w:rsidRPr="00954E92" w:rsidRDefault="00954E92" w:rsidP="004A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Varie ed eventuali: Il dirigente scolastico comunica di aver avuto la disponibilità da parte della prof.ssa Sandra </w:t>
      </w:r>
      <w:proofErr w:type="spellStart"/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Aiello</w:t>
      </w:r>
      <w:proofErr w:type="spellEnd"/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realizzare interventi di formazione rivolti ai docenti che ne faranno richiesta. Verrà inviato a breve un modulo per raccogliere le richieste.</w:t>
      </w:r>
    </w:p>
    <w:p w:rsidR="00954E92" w:rsidRDefault="00954E92" w:rsidP="004A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4E92">
        <w:rPr>
          <w:rFonts w:ascii="Times New Roman" w:eastAsia="Times New Roman" w:hAnsi="Times New Roman" w:cs="Times New Roman"/>
          <w:sz w:val="24"/>
          <w:szCs w:val="24"/>
          <w:lang w:eastAsia="it-IT"/>
        </w:rPr>
        <w:t>La riunione si chiude alle ore</w:t>
      </w:r>
      <w:r w:rsidR="00CD10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16.50</w:t>
      </w:r>
    </w:p>
    <w:p w:rsidR="00D418F5" w:rsidRDefault="00D418F5" w:rsidP="0095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18F5" w:rsidRDefault="00D418F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D418F5" w:rsidRDefault="00D418F5" w:rsidP="00D418F5">
      <w:pPr>
        <w:jc w:val="center"/>
        <w:rPr>
          <w:b/>
        </w:rPr>
      </w:pPr>
      <w:r w:rsidRPr="001A5442">
        <w:rPr>
          <w:b/>
        </w:rPr>
        <w:lastRenderedPageBreak/>
        <w:t>GRIGLIA VALUTAZIONE</w:t>
      </w:r>
      <w:r>
        <w:rPr>
          <w:b/>
        </w:rPr>
        <w:t xml:space="preserve"> COMPETENZE </w:t>
      </w:r>
    </w:p>
    <w:tbl>
      <w:tblPr>
        <w:tblStyle w:val="Grigliatabella"/>
        <w:tblW w:w="5000" w:type="pct"/>
        <w:tblLook w:val="04A0"/>
      </w:tblPr>
      <w:tblGrid>
        <w:gridCol w:w="6244"/>
        <w:gridCol w:w="724"/>
        <w:gridCol w:w="725"/>
        <w:gridCol w:w="725"/>
        <w:gridCol w:w="725"/>
        <w:gridCol w:w="711"/>
      </w:tblGrid>
      <w:tr w:rsidR="00D418F5" w:rsidTr="00274B27">
        <w:tc>
          <w:tcPr>
            <w:tcW w:w="3168" w:type="pct"/>
            <w:vAlign w:val="center"/>
          </w:tcPr>
          <w:p w:rsidR="00D418F5" w:rsidRPr="00FE4E5B" w:rsidRDefault="00D418F5" w:rsidP="00274B27">
            <w:pPr>
              <w:rPr>
                <w:b/>
              </w:rPr>
            </w:pPr>
            <w:r w:rsidRPr="00FE4E5B">
              <w:rPr>
                <w:b/>
              </w:rPr>
              <w:t>INDICATORE</w:t>
            </w:r>
          </w:p>
        </w:tc>
        <w:tc>
          <w:tcPr>
            <w:tcW w:w="1832" w:type="pct"/>
            <w:gridSpan w:val="5"/>
            <w:vAlign w:val="center"/>
          </w:tcPr>
          <w:p w:rsidR="00D418F5" w:rsidRPr="00FE4E5B" w:rsidRDefault="00D418F5" w:rsidP="00274B27">
            <w:pPr>
              <w:jc w:val="center"/>
              <w:rPr>
                <w:b/>
              </w:rPr>
            </w:pPr>
            <w:r w:rsidRPr="00FE4E5B">
              <w:rPr>
                <w:b/>
              </w:rPr>
              <w:t>LIVELLO</w:t>
            </w:r>
          </w:p>
        </w:tc>
      </w:tr>
      <w:tr w:rsidR="00D418F5" w:rsidTr="00274B27">
        <w:tc>
          <w:tcPr>
            <w:tcW w:w="3168" w:type="pct"/>
            <w:vAlign w:val="center"/>
          </w:tcPr>
          <w:p w:rsidR="00D418F5" w:rsidRDefault="00D418F5" w:rsidP="00274B27"/>
        </w:tc>
        <w:tc>
          <w:tcPr>
            <w:tcW w:w="367" w:type="pct"/>
            <w:vAlign w:val="center"/>
          </w:tcPr>
          <w:p w:rsidR="00D418F5" w:rsidRPr="00FE4E5B" w:rsidRDefault="00D418F5" w:rsidP="00274B27">
            <w:pPr>
              <w:jc w:val="center"/>
              <w:rPr>
                <w:b/>
              </w:rPr>
            </w:pPr>
          </w:p>
        </w:tc>
        <w:tc>
          <w:tcPr>
            <w:tcW w:w="368" w:type="pct"/>
            <w:vAlign w:val="center"/>
          </w:tcPr>
          <w:p w:rsidR="00D418F5" w:rsidRPr="00FE4E5B" w:rsidRDefault="00D418F5" w:rsidP="00274B27">
            <w:pPr>
              <w:jc w:val="center"/>
              <w:rPr>
                <w:b/>
              </w:rPr>
            </w:pPr>
            <w:r w:rsidRPr="00FE4E5B">
              <w:rPr>
                <w:b/>
              </w:rPr>
              <w:t>S</w:t>
            </w:r>
          </w:p>
        </w:tc>
        <w:tc>
          <w:tcPr>
            <w:tcW w:w="368" w:type="pct"/>
            <w:vAlign w:val="center"/>
          </w:tcPr>
          <w:p w:rsidR="00D418F5" w:rsidRPr="00FE4E5B" w:rsidRDefault="00D418F5" w:rsidP="00274B27">
            <w:pPr>
              <w:jc w:val="center"/>
              <w:rPr>
                <w:b/>
              </w:rPr>
            </w:pPr>
            <w:r w:rsidRPr="00FE4E5B">
              <w:rPr>
                <w:b/>
              </w:rPr>
              <w:t>B</w:t>
            </w:r>
          </w:p>
        </w:tc>
        <w:tc>
          <w:tcPr>
            <w:tcW w:w="368" w:type="pct"/>
            <w:vAlign w:val="center"/>
          </w:tcPr>
          <w:p w:rsidR="00D418F5" w:rsidRPr="00FE4E5B" w:rsidRDefault="00D418F5" w:rsidP="00274B27">
            <w:pPr>
              <w:jc w:val="center"/>
              <w:rPr>
                <w:b/>
              </w:rPr>
            </w:pPr>
            <w:r w:rsidRPr="00FE4E5B">
              <w:rPr>
                <w:b/>
              </w:rPr>
              <w:t>D</w:t>
            </w:r>
          </w:p>
        </w:tc>
        <w:tc>
          <w:tcPr>
            <w:tcW w:w="361" w:type="pct"/>
            <w:vAlign w:val="center"/>
          </w:tcPr>
          <w:p w:rsidR="00D418F5" w:rsidRPr="00FE4E5B" w:rsidRDefault="00D418F5" w:rsidP="00274B27">
            <w:pPr>
              <w:jc w:val="center"/>
              <w:rPr>
                <w:b/>
              </w:rPr>
            </w:pPr>
            <w:r w:rsidRPr="00FE4E5B">
              <w:rPr>
                <w:b/>
              </w:rPr>
              <w:t>O</w:t>
            </w:r>
          </w:p>
        </w:tc>
      </w:tr>
      <w:tr w:rsidR="00D418F5" w:rsidTr="00274B27">
        <w:trPr>
          <w:trHeight w:val="5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D418F5" w:rsidRDefault="00D418F5" w:rsidP="00274B27">
            <w:pPr>
              <w:jc w:val="center"/>
            </w:pPr>
            <w:r>
              <w:rPr>
                <w:b/>
              </w:rPr>
              <w:t>COMPETENZE TRASVERALI ACQUISITE</w:t>
            </w: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Autonomia</w:t>
            </w:r>
          </w:p>
        </w:tc>
        <w:tc>
          <w:tcPr>
            <w:tcW w:w="1832" w:type="pct"/>
            <w:gridSpan w:val="5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6513B" w:rsidRDefault="00D418F5" w:rsidP="00274B27">
            <w:pPr>
              <w:pStyle w:val="Paragrafoelenco"/>
              <w:ind w:left="0"/>
            </w:pPr>
            <w:r w:rsidRPr="0026513B">
              <w:t>ORGANIZZARE IL LAVORO IN AUTONOMIA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 w:rsidRPr="0026513B">
              <w:t xml:space="preserve">PARTECIPARE AL PROPRIO PROCESSO </w:t>
            </w:r>
            <w:proofErr w:type="spellStart"/>
            <w:r w:rsidRPr="0026513B">
              <w:t>DI</w:t>
            </w:r>
            <w:proofErr w:type="spellEnd"/>
            <w:r w:rsidRPr="0026513B">
              <w:t xml:space="preserve"> APPRENDIMENTO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>
              <w:t>UTILIZZARE LE RISORSE DISPONIBILI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Relazione</w:t>
            </w:r>
          </w:p>
        </w:tc>
        <w:tc>
          <w:tcPr>
            <w:tcW w:w="1832" w:type="pct"/>
            <w:gridSpan w:val="5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Default="00D418F5" w:rsidP="00274B27">
            <w:pPr>
              <w:pStyle w:val="Paragrafoelenco"/>
              <w:ind w:left="0"/>
            </w:pPr>
            <w:r>
              <w:t>INTERAGIRE CON IL DOCENTE IN MODO ATTIVO E TRASPARENTE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>
              <w:t>COLLABORARE E SUPPORTARE I COMPAGNI IN DIFFICOLTA’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Partecipazione</w:t>
            </w:r>
          </w:p>
        </w:tc>
        <w:tc>
          <w:tcPr>
            <w:tcW w:w="1832" w:type="pct"/>
            <w:gridSpan w:val="5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>
              <w:t>RISPONDERE CON ATTENZIONE, ASCOLTO, PUNTUALITÀ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 w:rsidRPr="0026513B">
              <w:t xml:space="preserve">COMUNICARE ATTRAVERSO L’USO </w:t>
            </w:r>
            <w:proofErr w:type="spellStart"/>
            <w:r w:rsidRPr="0026513B">
              <w:t>DI</w:t>
            </w:r>
            <w:proofErr w:type="spellEnd"/>
            <w:r w:rsidRPr="0026513B">
              <w:t xml:space="preserve"> LINGUAGGI DIFFERENTI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Default="00D418F5" w:rsidP="00274B27">
            <w:pPr>
              <w:pStyle w:val="Paragrafoelenco"/>
              <w:ind w:left="0"/>
              <w:rPr>
                <w:b/>
              </w:rPr>
            </w:pPr>
            <w:r>
              <w:t xml:space="preserve">ESPRIMERE LE PROPRIE OPINIONI NEL RISPETTO </w:t>
            </w:r>
            <w:proofErr w:type="spellStart"/>
            <w:r>
              <w:t>DI</w:t>
            </w:r>
            <w:proofErr w:type="spellEnd"/>
            <w:r>
              <w:t xml:space="preserve"> QUELLE ALTRUI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Responsabilità</w:t>
            </w:r>
          </w:p>
        </w:tc>
        <w:tc>
          <w:tcPr>
            <w:tcW w:w="1832" w:type="pct"/>
            <w:gridSpan w:val="5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 w:rsidRPr="00FA2305">
              <w:t>RISPETT</w:t>
            </w:r>
            <w:r>
              <w:t xml:space="preserve">ARE </w:t>
            </w:r>
            <w:r w:rsidRPr="00FA2305">
              <w:t>LE CONSEGNE</w:t>
            </w:r>
            <w:r>
              <w:t xml:space="preserve"> E LE REGOLE CONDIVISE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>
              <w:t>ASSUMERSI RESPONSABILITA’ NEL LAVORO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Flessibilità, resilienza e creatività</w:t>
            </w:r>
          </w:p>
        </w:tc>
        <w:tc>
          <w:tcPr>
            <w:tcW w:w="1832" w:type="pct"/>
            <w:gridSpan w:val="5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2B63AB" w:rsidRDefault="00D418F5" w:rsidP="00274B27">
            <w:pPr>
              <w:pStyle w:val="Paragrafoelenco"/>
              <w:ind w:left="0"/>
              <w:rPr>
                <w:b/>
              </w:rPr>
            </w:pPr>
            <w:r>
              <w:t xml:space="preserve">FORNIRE </w:t>
            </w:r>
            <w:r w:rsidRPr="0026513B">
              <w:t>CONTRIBUTI</w:t>
            </w:r>
            <w:r>
              <w:t xml:space="preserve">/APPROFONDIMENTI </w:t>
            </w:r>
            <w:r w:rsidRPr="0026513B">
              <w:t>PERSONALI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D418F5" w:rsidRDefault="00D418F5" w:rsidP="00274B27">
            <w:pPr>
              <w:jc w:val="center"/>
            </w:pPr>
            <w:r w:rsidRPr="001A5442">
              <w:rPr>
                <w:b/>
              </w:rPr>
              <w:t>COMPETENZE DISCIPLINARI ACQUISITE</w:t>
            </w:r>
            <w:r>
              <w:rPr>
                <w:b/>
              </w:rPr>
              <w:t xml:space="preserve"> (personalizzare per ogni disciplina –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3 voci)</w:t>
            </w: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6357AB" w:rsidRDefault="00D418F5" w:rsidP="00274B27">
            <w:pPr>
              <w:rPr>
                <w:b/>
              </w:rPr>
            </w:pPr>
            <w:r w:rsidRPr="006357AB">
              <w:rPr>
                <w:b/>
              </w:rPr>
              <w:t>OSSERVARE E DESCRIVERE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6357AB" w:rsidRDefault="00D418F5" w:rsidP="00274B27">
            <w:pPr>
              <w:rPr>
                <w:b/>
              </w:rPr>
            </w:pPr>
            <w:r>
              <w:rPr>
                <w:b/>
              </w:rPr>
              <w:t>SELEZIONARE E GESTIRE FONTI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6357AB" w:rsidRDefault="00D418F5" w:rsidP="00274B27">
            <w:pPr>
              <w:rPr>
                <w:b/>
              </w:rPr>
            </w:pPr>
            <w:r w:rsidRPr="006357AB">
              <w:rPr>
                <w:b/>
              </w:rPr>
              <w:t>INTERPRETARE DATI/FATTI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4144BD" w:rsidRDefault="00D418F5" w:rsidP="00274B27">
            <w:r w:rsidRPr="005743DA">
              <w:rPr>
                <w:b/>
              </w:rPr>
              <w:t>COMPRENDERE TESTI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5743DA" w:rsidRDefault="00D418F5" w:rsidP="00274B27">
            <w:pPr>
              <w:rPr>
                <w:b/>
              </w:rPr>
            </w:pPr>
            <w:r w:rsidRPr="005743DA">
              <w:rPr>
                <w:b/>
              </w:rPr>
              <w:t>RISOLVERE PROBLEMI</w:t>
            </w:r>
          </w:p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  <w:vAlign w:val="center"/>
          </w:tcPr>
          <w:p w:rsidR="00D418F5" w:rsidRPr="005743DA" w:rsidRDefault="00D418F5" w:rsidP="00274B27">
            <w:pPr>
              <w:rPr>
                <w:b/>
              </w:rPr>
            </w:pPr>
            <w:r>
              <w:rPr>
                <w:b/>
              </w:rPr>
              <w:t>ESPRIMERE GIUDIZI</w:t>
            </w:r>
          </w:p>
          <w:p w:rsidR="00D418F5" w:rsidRPr="004144BD" w:rsidRDefault="00D418F5" w:rsidP="00274B27"/>
        </w:tc>
        <w:tc>
          <w:tcPr>
            <w:tcW w:w="367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  <w:vAlign w:val="center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  <w:vAlign w:val="center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</w:tcPr>
          <w:p w:rsidR="00D418F5" w:rsidRPr="004144BD" w:rsidRDefault="00D418F5" w:rsidP="00274B27">
            <w:r>
              <w:rPr>
                <w:b/>
              </w:rPr>
              <w:t xml:space="preserve">PRODURRE TESTI         </w:t>
            </w:r>
          </w:p>
        </w:tc>
        <w:tc>
          <w:tcPr>
            <w:tcW w:w="367" w:type="pct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</w:tcPr>
          <w:p w:rsidR="00D418F5" w:rsidRDefault="00D418F5" w:rsidP="00274B27">
            <w:pPr>
              <w:jc w:val="center"/>
            </w:pPr>
          </w:p>
        </w:tc>
      </w:tr>
      <w:tr w:rsidR="00D418F5" w:rsidTr="00274B27">
        <w:trPr>
          <w:trHeight w:val="510"/>
        </w:trPr>
        <w:tc>
          <w:tcPr>
            <w:tcW w:w="3168" w:type="pct"/>
          </w:tcPr>
          <w:p w:rsidR="00D418F5" w:rsidRPr="004144BD" w:rsidRDefault="00D418F5" w:rsidP="004A744C">
            <w:r>
              <w:rPr>
                <w:b/>
              </w:rPr>
              <w:t xml:space="preserve">SINTETIZZARE  E PRESENTARE GLI ARGOMENTI TRATTATI        </w:t>
            </w:r>
          </w:p>
        </w:tc>
        <w:tc>
          <w:tcPr>
            <w:tcW w:w="367" w:type="pct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</w:tcPr>
          <w:p w:rsidR="00D418F5" w:rsidRDefault="00D418F5" w:rsidP="00274B27">
            <w:pPr>
              <w:jc w:val="center"/>
            </w:pPr>
          </w:p>
        </w:tc>
        <w:tc>
          <w:tcPr>
            <w:tcW w:w="368" w:type="pct"/>
          </w:tcPr>
          <w:p w:rsidR="00D418F5" w:rsidRDefault="00D418F5" w:rsidP="00274B27">
            <w:pPr>
              <w:jc w:val="center"/>
            </w:pPr>
          </w:p>
        </w:tc>
        <w:tc>
          <w:tcPr>
            <w:tcW w:w="361" w:type="pct"/>
          </w:tcPr>
          <w:p w:rsidR="00D418F5" w:rsidRDefault="00D418F5" w:rsidP="00274B27">
            <w:pPr>
              <w:jc w:val="center"/>
            </w:pPr>
          </w:p>
        </w:tc>
      </w:tr>
    </w:tbl>
    <w:p w:rsidR="00954E92" w:rsidRDefault="00954E92" w:rsidP="004A744C"/>
    <w:sectPr w:rsidR="00954E92" w:rsidSect="00D418F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53F"/>
    <w:multiLevelType w:val="multilevel"/>
    <w:tmpl w:val="F9B6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C60CB"/>
    <w:multiLevelType w:val="hybridMultilevel"/>
    <w:tmpl w:val="0AE0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54E92"/>
    <w:rsid w:val="004A744C"/>
    <w:rsid w:val="00813F93"/>
    <w:rsid w:val="00954E92"/>
    <w:rsid w:val="00BB78F6"/>
    <w:rsid w:val="00CD1082"/>
    <w:rsid w:val="00D2249C"/>
    <w:rsid w:val="00D418F5"/>
    <w:rsid w:val="00E5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54E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570F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418F5"/>
    <w:rPr>
      <w:b/>
      <w:bCs/>
    </w:rPr>
  </w:style>
  <w:style w:type="table" w:styleId="Grigliatabella">
    <w:name w:val="Table Grid"/>
    <w:basedOn w:val="Tabellanormale"/>
    <w:uiPriority w:val="39"/>
    <w:rsid w:val="00D4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gattamelata.edu.it/la-valutazi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gattamelata.edu.it/didattica-a-distanza-parliamo-di-competenze/" TargetMode="External"/><Relationship Id="rId5" Type="http://schemas.openxmlformats.org/officeDocument/2006/relationships/hyperlink" Target="https://www.icsgattamelata.edu.it/la-valutazio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Santoro</dc:creator>
  <cp:lastModifiedBy>Giovanni Santoro</cp:lastModifiedBy>
  <cp:revision>5</cp:revision>
  <dcterms:created xsi:type="dcterms:W3CDTF">2020-04-02T06:34:00Z</dcterms:created>
  <dcterms:modified xsi:type="dcterms:W3CDTF">2020-04-02T07:21:00Z</dcterms:modified>
</cp:coreProperties>
</file>