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91" w:rsidRDefault="003F606B">
      <w:pPr>
        <w:rPr>
          <w:b/>
        </w:rPr>
      </w:pPr>
      <w:r>
        <w:rPr>
          <w:b/>
        </w:rPr>
        <w:t>Si prega di modificare questa traccia secondo necessità cancellando le parti che non interessano e quelle in corsivo. Caricare il verbale in google drive accedendo con le credenziali @icsgattamelata.edu.it nella cartella: /consigli di classe/nome classe. G</w:t>
      </w:r>
      <w:r>
        <w:rPr>
          <w:b/>
        </w:rPr>
        <w:t>razie</w:t>
      </w:r>
    </w:p>
    <w:p w:rsidR="00047191" w:rsidRDefault="003F606B">
      <w:r>
        <w:t xml:space="preserve">Il </w:t>
      </w:r>
      <w:proofErr w:type="spellStart"/>
      <w:r>
        <w:t>giorno……</w:t>
      </w:r>
      <w:proofErr w:type="spellEnd"/>
      <w:r>
        <w:t xml:space="preserve">. alle ore </w:t>
      </w:r>
      <w:proofErr w:type="spellStart"/>
      <w:r>
        <w:t>……</w:t>
      </w:r>
      <w:proofErr w:type="spellEnd"/>
      <w:r>
        <w:t xml:space="preserve">. si tiene in videoconferenza il consiglio della classe </w:t>
      </w:r>
      <w:proofErr w:type="spellStart"/>
      <w:r>
        <w:t>…………</w:t>
      </w:r>
      <w:proofErr w:type="spellEnd"/>
      <w:r>
        <w:t>..</w:t>
      </w:r>
    </w:p>
    <w:p w:rsidR="00047191" w:rsidRDefault="003F606B">
      <w:r>
        <w:t>Sono collegati i docenti della classe:</w:t>
      </w:r>
      <w:proofErr w:type="spellStart"/>
      <w:r>
        <w:t>……………………………………</w:t>
      </w:r>
      <w:proofErr w:type="spellEnd"/>
    </w:p>
    <w:p w:rsidR="00047191" w:rsidRDefault="003F606B">
      <w:r>
        <w:t>Risultano assenti i docenti:......................................................</w:t>
      </w:r>
    </w:p>
    <w:p w:rsidR="00047191" w:rsidRDefault="003F606B">
      <w:r>
        <w:t>Partecipano i rappresentant</w:t>
      </w:r>
      <w:r>
        <w:t>i dei genitori:</w:t>
      </w:r>
      <w:proofErr w:type="spellStart"/>
      <w:r>
        <w:t>……………………………</w:t>
      </w:r>
      <w:proofErr w:type="spellEnd"/>
      <w:r>
        <w:t>.</w:t>
      </w:r>
    </w:p>
    <w:p w:rsidR="00047191" w:rsidRDefault="003F606B">
      <w:r>
        <w:t xml:space="preserve">Presiede la riunione il coordinatore di </w:t>
      </w:r>
      <w:proofErr w:type="spellStart"/>
      <w:r>
        <w:t>classe…………………</w:t>
      </w:r>
      <w:proofErr w:type="spellEnd"/>
      <w:r>
        <w:t xml:space="preserve">., funge da segretario </w:t>
      </w:r>
      <w:proofErr w:type="spellStart"/>
      <w:r>
        <w:t>……………………………</w:t>
      </w:r>
      <w:proofErr w:type="spellEnd"/>
      <w:r>
        <w:t>.</w:t>
      </w:r>
    </w:p>
    <w:p w:rsidR="00047191" w:rsidRDefault="003F606B">
      <w:r>
        <w:t>Si discute il seguente ordine del giorno:</w:t>
      </w:r>
    </w:p>
    <w:p w:rsidR="00047191" w:rsidRDefault="003F606B">
      <w:pPr>
        <w:spacing w:after="0" w:line="240" w:lineRule="auto"/>
      </w:pPr>
      <w:r>
        <w:t>1. Didattica a distanza: verifica della situazione</w:t>
      </w:r>
    </w:p>
    <w:p w:rsidR="00047191" w:rsidRDefault="003F606B">
      <w:pPr>
        <w:spacing w:after="0" w:line="240" w:lineRule="auto"/>
      </w:pPr>
      <w:r>
        <w:t>2. La valutazione</w:t>
      </w:r>
    </w:p>
    <w:p w:rsidR="00047191" w:rsidRDefault="003F606B">
      <w:pPr>
        <w:spacing w:after="0" w:line="240" w:lineRule="auto"/>
      </w:pPr>
      <w:r>
        <w:t>3. Classi terze: adempimenti</w:t>
      </w:r>
      <w:r>
        <w:t xml:space="preserve"> e indicazioni</w:t>
      </w:r>
    </w:p>
    <w:p w:rsidR="00047191" w:rsidRDefault="003F606B">
      <w:pPr>
        <w:spacing w:after="0" w:line="240" w:lineRule="auto"/>
      </w:pPr>
      <w:r>
        <w:t>4. Libri di testo</w:t>
      </w:r>
    </w:p>
    <w:p w:rsidR="00047191" w:rsidRDefault="003F606B">
      <w:pPr>
        <w:spacing w:after="0" w:line="240" w:lineRule="auto"/>
      </w:pPr>
      <w:r>
        <w:t>5. Progetti di classe</w:t>
      </w:r>
    </w:p>
    <w:p w:rsidR="00047191" w:rsidRDefault="003F606B">
      <w:pPr>
        <w:spacing w:after="0" w:line="240" w:lineRule="auto"/>
      </w:pPr>
      <w:r>
        <w:t xml:space="preserve">6. Foto di classe su </w:t>
      </w:r>
      <w:proofErr w:type="spellStart"/>
      <w:r>
        <w:t>meet</w:t>
      </w:r>
      <w:proofErr w:type="spellEnd"/>
    </w:p>
    <w:p w:rsidR="00047191" w:rsidRDefault="003F606B">
      <w:pPr>
        <w:spacing w:after="0" w:line="240" w:lineRule="auto"/>
      </w:pPr>
      <w:r>
        <w:t>7. Eventuale organizzazione del ritiro del materiale scolastico lasciato a scuola</w:t>
      </w:r>
    </w:p>
    <w:p w:rsidR="00047191" w:rsidRDefault="003F606B">
      <w:pPr>
        <w:spacing w:after="0" w:line="240" w:lineRule="auto"/>
      </w:pPr>
      <w:r>
        <w:t>8. Varie ed eventuali</w:t>
      </w:r>
    </w:p>
    <w:p w:rsidR="00047191" w:rsidRDefault="00047191"/>
    <w:p w:rsidR="00047191" w:rsidRDefault="003F606B">
      <w:pPr>
        <w:rPr>
          <w:color w:val="010101"/>
          <w:highlight w:val="white"/>
        </w:rPr>
      </w:pPr>
      <w:r>
        <w:t>Il coordinatore apre la riunione informando che la legge “Cura Italia”</w:t>
      </w:r>
      <w:r>
        <w:t>recentemente approvata</w:t>
      </w:r>
      <w:r>
        <w:rPr>
          <w:color w:val="010101"/>
          <w:highlight w:val="white"/>
        </w:rPr>
        <w:t xml:space="preserve"> prevede che “le sedute degli organi collegiali delle istituzioni scolastiche ed educative di ogni ordine e grado possano svolgersi in videoconferenza, anche ove tale modalità non sia stata prevista negli atti regolamentari interni”. </w:t>
      </w:r>
      <w:r>
        <w:rPr>
          <w:color w:val="010101"/>
          <w:highlight w:val="white"/>
        </w:rPr>
        <w:t>Pertanto tutte le decisioni prese in questa modalità hanno lo stesso valore di quelle assunte</w:t>
      </w:r>
      <w:r>
        <w:rPr>
          <w:color w:val="010101"/>
          <w:highlight w:val="white"/>
        </w:rPr>
        <w:t xml:space="preserve"> nelle riunioni in presenza.</w:t>
      </w:r>
    </w:p>
    <w:p w:rsidR="00047191" w:rsidRDefault="003F6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10101"/>
          <w:highlight w:val="white"/>
        </w:rPr>
        <w:t> Il coordinatore riporta sinteticamente l’organizzazione delle attività didattiche di queste settimane:</w:t>
      </w:r>
      <w:proofErr w:type="spellStart"/>
      <w:r>
        <w:rPr>
          <w:color w:val="010101"/>
          <w:highlight w:val="white"/>
        </w:rPr>
        <w:t>………………………</w:t>
      </w:r>
      <w:proofErr w:type="spellEnd"/>
      <w:r>
        <w:rPr>
          <w:color w:val="010101"/>
          <w:highlight w:val="white"/>
        </w:rPr>
        <w:t xml:space="preserve">.. </w:t>
      </w:r>
    </w:p>
    <w:p w:rsidR="00047191" w:rsidRDefault="003F606B">
      <w:pPr>
        <w:pBdr>
          <w:top w:val="nil"/>
          <w:left w:val="nil"/>
          <w:bottom w:val="nil"/>
          <w:right w:val="nil"/>
          <w:between w:val="nil"/>
        </w:pBdr>
        <w:rPr>
          <w:color w:val="010101"/>
          <w:highlight w:val="white"/>
        </w:rPr>
      </w:pPr>
      <w:r>
        <w:rPr>
          <w:color w:val="010101"/>
          <w:highlight w:val="white"/>
        </w:rPr>
        <w:t>Di seguito l’orario delle lezioni :</w:t>
      </w:r>
    </w:p>
    <w:p w:rsidR="00047191" w:rsidRDefault="00047191">
      <w:pPr>
        <w:pBdr>
          <w:top w:val="nil"/>
          <w:left w:val="nil"/>
          <w:bottom w:val="nil"/>
          <w:right w:val="nil"/>
          <w:between w:val="nil"/>
        </w:pBdr>
        <w:rPr>
          <w:color w:val="010101"/>
          <w:highlight w:val="white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07"/>
        <w:gridCol w:w="1607"/>
        <w:gridCol w:w="1606"/>
        <w:gridCol w:w="1606"/>
        <w:gridCol w:w="1606"/>
        <w:gridCol w:w="1606"/>
      </w:tblGrid>
      <w:tr w:rsidR="00047191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3F6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  <w:r>
              <w:rPr>
                <w:color w:val="010101"/>
                <w:highlight w:val="white"/>
              </w:rPr>
              <w:t>LUNEDI’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3F6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  <w:r>
              <w:rPr>
                <w:color w:val="010101"/>
                <w:highlight w:val="white"/>
              </w:rPr>
              <w:t>MARTEDI’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3F6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  <w:r>
              <w:rPr>
                <w:color w:val="010101"/>
                <w:highlight w:val="white"/>
              </w:rPr>
              <w:t>MERCOLEDI’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3F6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  <w:r>
              <w:rPr>
                <w:color w:val="010101"/>
                <w:highlight w:val="white"/>
              </w:rPr>
              <w:t>GIOVEDI’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3F6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  <w:r>
              <w:rPr>
                <w:color w:val="010101"/>
                <w:highlight w:val="white"/>
              </w:rPr>
              <w:t>VENERDI’</w:t>
            </w:r>
          </w:p>
        </w:tc>
      </w:tr>
      <w:tr w:rsidR="00047191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3F6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  <w:r>
              <w:rPr>
                <w:color w:val="010101"/>
                <w:highlight w:val="white"/>
              </w:rPr>
              <w:t>I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</w:tr>
      <w:tr w:rsidR="00047191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3F6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  <w:r>
              <w:rPr>
                <w:color w:val="010101"/>
                <w:highlight w:val="white"/>
              </w:rPr>
              <w:t>II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</w:tr>
      <w:tr w:rsidR="00047191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3F6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  <w:r>
              <w:rPr>
                <w:color w:val="010101"/>
                <w:highlight w:val="white"/>
              </w:rPr>
              <w:t>III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</w:tr>
      <w:tr w:rsidR="00047191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3F6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  <w:r>
              <w:rPr>
                <w:color w:val="010101"/>
                <w:highlight w:val="white"/>
              </w:rPr>
              <w:t>IV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191" w:rsidRDefault="00047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10101"/>
                <w:highlight w:val="white"/>
              </w:rPr>
            </w:pPr>
          </w:p>
        </w:tc>
      </w:tr>
    </w:tbl>
    <w:p w:rsidR="00047191" w:rsidRDefault="00047191">
      <w:pPr>
        <w:pBdr>
          <w:top w:val="nil"/>
          <w:left w:val="nil"/>
          <w:bottom w:val="nil"/>
          <w:right w:val="nil"/>
          <w:between w:val="nil"/>
        </w:pBdr>
        <w:rPr>
          <w:color w:val="010101"/>
          <w:highlight w:val="white"/>
        </w:rPr>
      </w:pPr>
    </w:p>
    <w:p w:rsidR="00047191" w:rsidRDefault="003F606B">
      <w:pPr>
        <w:pBdr>
          <w:top w:val="nil"/>
          <w:left w:val="nil"/>
          <w:bottom w:val="nil"/>
          <w:right w:val="nil"/>
          <w:between w:val="nil"/>
        </w:pBdr>
        <w:rPr>
          <w:color w:val="010101"/>
          <w:highlight w:val="white"/>
        </w:rPr>
      </w:pPr>
      <w:r>
        <w:rPr>
          <w:color w:val="010101"/>
          <w:highlight w:val="white"/>
        </w:rPr>
        <w:t xml:space="preserve">La partecipazione alle lezioni da parte degli studenti è </w:t>
      </w:r>
      <w:proofErr w:type="spellStart"/>
      <w:r>
        <w:rPr>
          <w:color w:val="010101"/>
          <w:highlight w:val="white"/>
        </w:rPr>
        <w:t>stata……</w:t>
      </w:r>
      <w:proofErr w:type="spellEnd"/>
      <w:r>
        <w:rPr>
          <w:color w:val="010101"/>
          <w:highlight w:val="white"/>
        </w:rPr>
        <w:t xml:space="preserve">..  </w:t>
      </w:r>
      <w:r>
        <w:rPr>
          <w:i/>
          <w:color w:val="010101"/>
          <w:highlight w:val="white"/>
        </w:rPr>
        <w:t>(Nel caso in cui ci fossero studenti che non partecipano alle lezioni, o che partecipano in modo non adeguato, si informano i rappresentanti dei genitori che verranno inviate alcune comunicazioni – senza specificare quali sono le persone interessate -  all</w:t>
      </w:r>
      <w:r>
        <w:rPr>
          <w:i/>
          <w:color w:val="010101"/>
          <w:highlight w:val="white"/>
        </w:rPr>
        <w:t xml:space="preserve">e </w:t>
      </w:r>
      <w:r>
        <w:rPr>
          <w:i/>
          <w:color w:val="010101"/>
          <w:highlight w:val="white"/>
        </w:rPr>
        <w:lastRenderedPageBreak/>
        <w:t>famiglie degli studenti in questione).</w:t>
      </w:r>
      <w:r>
        <w:rPr>
          <w:color w:val="010101"/>
          <w:highlight w:val="white"/>
        </w:rPr>
        <w:t xml:space="preserve"> I rappresentanti dei genitori riportano la valutazione delle famiglie riguardo alle attività proposte (carico di lavoro, coinvolgimento degli studenti, situazione generale emotiva e psicologica):</w:t>
      </w:r>
      <w:proofErr w:type="spellStart"/>
      <w:r>
        <w:rPr>
          <w:color w:val="010101"/>
          <w:highlight w:val="white"/>
        </w:rPr>
        <w:t>…………………</w:t>
      </w:r>
      <w:proofErr w:type="spellEnd"/>
      <w:r>
        <w:rPr>
          <w:color w:val="010101"/>
          <w:highlight w:val="white"/>
        </w:rPr>
        <w:t xml:space="preserve">. </w:t>
      </w:r>
    </w:p>
    <w:p w:rsidR="00047191" w:rsidRDefault="003F6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10101"/>
          <w:highlight w:val="white"/>
        </w:rPr>
        <w:t xml:space="preserve">Per le prossime settimane si stabilisce di proseguire con l’attuale organizzazione </w:t>
      </w:r>
      <w:r>
        <w:rPr>
          <w:i/>
          <w:color w:val="010101"/>
          <w:highlight w:val="white"/>
        </w:rPr>
        <w:t>(oppure: si stabilisce di apportare i seguenti correttivi)</w:t>
      </w:r>
    </w:p>
    <w:p w:rsidR="00047191" w:rsidRDefault="003F606B">
      <w:pPr>
        <w:pStyle w:val="Titolo5"/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 w:val="0"/>
          <w:color w:val="222222"/>
          <w:sz w:val="22"/>
          <w:szCs w:val="22"/>
        </w:rPr>
      </w:pPr>
      <w:r>
        <w:rPr>
          <w:rFonts w:ascii="Calibri" w:eastAsia="Calibri" w:hAnsi="Calibri" w:cs="Calibri"/>
          <w:b w:val="0"/>
          <w:color w:val="010101"/>
          <w:sz w:val="22"/>
          <w:szCs w:val="22"/>
          <w:highlight w:val="white"/>
        </w:rPr>
        <w:t>Il coordinatore informa i genitori quanto stabilito in collegio docenti riguardo alla valutazione. Questi gl</w:t>
      </w:r>
      <w:r>
        <w:rPr>
          <w:rFonts w:ascii="Calibri" w:eastAsia="Calibri" w:hAnsi="Calibri" w:cs="Calibri"/>
          <w:b w:val="0"/>
          <w:color w:val="222222"/>
          <w:sz w:val="22"/>
          <w:szCs w:val="22"/>
        </w:rPr>
        <w:t>i indi</w:t>
      </w:r>
      <w:r>
        <w:rPr>
          <w:rFonts w:ascii="Calibri" w:eastAsia="Calibri" w:hAnsi="Calibri" w:cs="Calibri"/>
          <w:b w:val="0"/>
          <w:color w:val="222222"/>
          <w:sz w:val="22"/>
          <w:szCs w:val="22"/>
        </w:rPr>
        <w:t>catori utilizzati agli scrutini:</w:t>
      </w:r>
    </w:p>
    <w:p w:rsidR="00047191" w:rsidRDefault="003F606B">
      <w:pPr>
        <w:numPr>
          <w:ilvl w:val="0"/>
          <w:numId w:val="2"/>
        </w:numPr>
        <w:shd w:val="clear" w:color="auto" w:fill="FFFFFF"/>
        <w:spacing w:before="280" w:after="0"/>
        <w:ind w:left="0"/>
        <w:rPr>
          <w:color w:val="222222"/>
        </w:rPr>
      </w:pPr>
      <w:r>
        <w:rPr>
          <w:color w:val="222222"/>
        </w:rPr>
        <w:t>Frequenza</w:t>
      </w:r>
    </w:p>
    <w:p w:rsidR="00047191" w:rsidRDefault="003F606B">
      <w:pPr>
        <w:numPr>
          <w:ilvl w:val="0"/>
          <w:numId w:val="2"/>
        </w:numPr>
        <w:shd w:val="clear" w:color="auto" w:fill="FFFFFF"/>
        <w:spacing w:after="0"/>
        <w:ind w:left="0"/>
        <w:rPr>
          <w:color w:val="222222"/>
        </w:rPr>
      </w:pPr>
      <w:r>
        <w:rPr>
          <w:color w:val="222222"/>
        </w:rPr>
        <w:t>Partecipazione</w:t>
      </w:r>
    </w:p>
    <w:p w:rsidR="00047191" w:rsidRDefault="003F606B">
      <w:pPr>
        <w:numPr>
          <w:ilvl w:val="0"/>
          <w:numId w:val="2"/>
        </w:numPr>
        <w:shd w:val="clear" w:color="auto" w:fill="FFFFFF"/>
        <w:spacing w:after="0"/>
        <w:ind w:left="0"/>
        <w:rPr>
          <w:color w:val="222222"/>
        </w:rPr>
      </w:pPr>
      <w:r>
        <w:rPr>
          <w:color w:val="222222"/>
        </w:rPr>
        <w:t>Impegno</w:t>
      </w:r>
    </w:p>
    <w:p w:rsidR="00047191" w:rsidRDefault="003F606B">
      <w:pPr>
        <w:numPr>
          <w:ilvl w:val="0"/>
          <w:numId w:val="2"/>
        </w:numPr>
        <w:shd w:val="clear" w:color="auto" w:fill="FFFFFF"/>
        <w:spacing w:after="0"/>
        <w:ind w:left="0"/>
        <w:rPr>
          <w:color w:val="222222"/>
        </w:rPr>
      </w:pPr>
      <w:r>
        <w:rPr>
          <w:color w:val="222222"/>
        </w:rPr>
        <w:t>Metodo di lavoro</w:t>
      </w:r>
    </w:p>
    <w:p w:rsidR="00047191" w:rsidRDefault="003F606B">
      <w:pPr>
        <w:numPr>
          <w:ilvl w:val="0"/>
          <w:numId w:val="2"/>
        </w:numPr>
        <w:shd w:val="clear" w:color="auto" w:fill="FFFFFF"/>
        <w:spacing w:after="0"/>
        <w:ind w:left="0"/>
        <w:rPr>
          <w:color w:val="222222"/>
        </w:rPr>
      </w:pPr>
      <w:r>
        <w:rPr>
          <w:color w:val="222222"/>
        </w:rPr>
        <w:t>Collaborazione</w:t>
      </w:r>
    </w:p>
    <w:p w:rsidR="00047191" w:rsidRDefault="003F606B">
      <w:pPr>
        <w:numPr>
          <w:ilvl w:val="0"/>
          <w:numId w:val="2"/>
        </w:numPr>
        <w:shd w:val="clear" w:color="auto" w:fill="FFFFFF"/>
        <w:spacing w:after="280"/>
        <w:ind w:left="0"/>
        <w:rPr>
          <w:color w:val="222222"/>
        </w:rPr>
      </w:pPr>
      <w:r>
        <w:rPr>
          <w:color w:val="222222"/>
        </w:rPr>
        <w:t>Possesso di linguaggi specifici</w:t>
      </w:r>
    </w:p>
    <w:p w:rsidR="00047191" w:rsidRDefault="003F60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222222"/>
        </w:rPr>
      </w:pPr>
      <w:r>
        <w:rPr>
          <w:color w:val="222222"/>
        </w:rPr>
        <w:t>La valutazione in questo momento non può che essere formativa. E’ necessario che alunni e famiglie abbiano riscontri immediati e trasparenti. Ma il problema non è il voto. Il problema è riuscire a fornire una valutazione che mostri allo studente i suoi pun</w:t>
      </w:r>
      <w:r>
        <w:rPr>
          <w:color w:val="222222"/>
        </w:rPr>
        <w:t>ti di forza ed i suoi punti di debolezza. A questo scopo si ricorre anche a forme di autovalutazione, perché queste consentono agli allievi di acquisire consapevolezza. La valutazione delle competenze viene effettuata attraverso una rubrica</w:t>
      </w:r>
      <w:r>
        <w:rPr>
          <w:color w:val="222222"/>
        </w:rPr>
        <w:t>.</w:t>
      </w:r>
    </w:p>
    <w:p w:rsidR="00047191" w:rsidRDefault="003F60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color w:val="222222"/>
        </w:rPr>
      </w:pPr>
      <w:r>
        <w:rPr>
          <w:color w:val="222222"/>
        </w:rPr>
        <w:t xml:space="preserve">E’ importante che tale valutazione sia effettuata nell’ottica del riconoscimento e della valorizzazione del percorso fatto, più che </w:t>
      </w:r>
      <w:r>
        <w:rPr>
          <w:color w:val="222222"/>
        </w:rPr>
        <w:t>dell’accertamento delle carenze, soprattutto per gli alunni che sono all’ultimo anno. Bisogna inoltre curare di non penalizzare gli alunni che, a causa di insufficiente disponibilità di dispositivi o di una connessione inadeguata, o di altri fattori estern</w:t>
      </w:r>
      <w:r>
        <w:rPr>
          <w:color w:val="222222"/>
        </w:rPr>
        <w:t>i (contesto familiare, socioeconomico, etc.) non abbiano seguito le indicazioni dei docenti con la puntualità che sarebbe stata necessaria.</w:t>
      </w:r>
    </w:p>
    <w:p w:rsidR="00047191" w:rsidRDefault="003F606B">
      <w:pPr>
        <w:shd w:val="clear" w:color="auto" w:fill="FFFFFF"/>
        <w:spacing w:before="120" w:after="120"/>
      </w:pPr>
      <w:r>
        <w:rPr>
          <w:color w:val="222222"/>
        </w:rPr>
        <w:t xml:space="preserve">Rubrica approvata dal collegio: </w:t>
      </w:r>
      <w:hyperlink r:id="rId6">
        <w:r>
          <w:rPr>
            <w:color w:val="000E60"/>
            <w:highlight w:val="white"/>
            <w:u w:val="single"/>
          </w:rPr>
          <w:t xml:space="preserve">Griglia valutazione </w:t>
        </w:r>
        <w:proofErr w:type="spellStart"/>
        <w:r>
          <w:rPr>
            <w:color w:val="000E60"/>
            <w:highlight w:val="white"/>
            <w:u w:val="single"/>
          </w:rPr>
          <w:t>Gattamelata</w:t>
        </w:r>
        <w:proofErr w:type="spellEnd"/>
      </w:hyperlink>
    </w:p>
    <w:p w:rsidR="00047191" w:rsidRDefault="003F606B">
      <w:pPr>
        <w:shd w:val="clear" w:color="auto" w:fill="FFFFFF"/>
        <w:spacing w:before="120" w:after="120"/>
      </w:pPr>
      <w:r>
        <w:t xml:space="preserve">Siamo in attesa delle ordinanze che regolamenteranno la conclusione dell’anno scolastico.  </w:t>
      </w:r>
    </w:p>
    <w:p w:rsidR="00047191" w:rsidRDefault="003F606B">
      <w:pPr>
        <w:shd w:val="clear" w:color="auto" w:fill="FFFFFF"/>
        <w:spacing w:before="120" w:after="120"/>
      </w:pPr>
      <w:r>
        <w:t>I docenti comunicano ai genitori che nelle scorse settimane sono state proposte le seguenti modalità di valutazione (</w:t>
      </w:r>
      <w:r>
        <w:rPr>
          <w:i/>
        </w:rPr>
        <w:t>quiz</w:t>
      </w:r>
      <w:r>
        <w:rPr>
          <w:i/>
        </w:rPr>
        <w:t xml:space="preserve">, elaborati scritti, diari di bordo, presentazioni, compiti di realtà, etc. - si prega di specificare </w:t>
      </w:r>
      <w:r w:rsidRPr="003F606B">
        <w:rPr>
          <w:b/>
          <w:i/>
        </w:rPr>
        <w:t>per ogni materia</w:t>
      </w:r>
      <w:r>
        <w:rPr>
          <w:i/>
        </w:rPr>
        <w:t xml:space="preserve"> ricordando che per tutte le discipline sarà necessario dare valutazione alla fine dell’anno scolastico secondo le modalità previste dalle</w:t>
      </w:r>
      <w:r>
        <w:rPr>
          <w:i/>
        </w:rPr>
        <w:t xml:space="preserve"> indicazioni ministeriali</w:t>
      </w:r>
      <w:r>
        <w:rPr>
          <w:i/>
        </w:rPr>
        <w:t>)</w:t>
      </w:r>
      <w:r>
        <w:t>:........................</w:t>
      </w:r>
    </w:p>
    <w:p w:rsidR="00047191" w:rsidRDefault="003F606B">
      <w:pPr>
        <w:shd w:val="clear" w:color="auto" w:fill="FFFFFF"/>
        <w:spacing w:before="120" w:after="120"/>
      </w:pPr>
      <w:r>
        <w:t>Nelle prossime settimane si procederà come segue:............................................</w:t>
      </w:r>
    </w:p>
    <w:p w:rsidR="00047191" w:rsidRDefault="00047191">
      <w:pPr>
        <w:shd w:val="clear" w:color="auto" w:fill="FFFFFF"/>
        <w:spacing w:before="120" w:after="120"/>
        <w:rPr>
          <w:color w:val="222222"/>
        </w:rPr>
      </w:pPr>
    </w:p>
    <w:p w:rsidR="00047191" w:rsidRDefault="003F6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10101"/>
          <w:highlight w:val="white"/>
        </w:rPr>
        <w:t xml:space="preserve">(SOLO PER LE CLASSI TERZE) </w:t>
      </w:r>
      <w:r>
        <w:rPr>
          <w:color w:val="000000"/>
        </w:rPr>
        <w:t>Siamo in attesa delle ordinanze. Si parla di un percorso che gli studenti devono presentare e che</w:t>
      </w:r>
      <w:r>
        <w:rPr>
          <w:color w:val="000000"/>
        </w:rPr>
        <w:t xml:space="preserve"> sarà oggetto di valutazione. I docenti daranno indicazioni appena possibile. Si valuterà se esiste la possibilità di consentire agli studenti di presentare il loro elaborato ai docenti per una sorta di ‘saluto finale’</w:t>
      </w:r>
      <w:r>
        <w:rPr>
          <w:color w:val="000000"/>
        </w:rPr>
        <w:t>.</w:t>
      </w:r>
    </w:p>
    <w:p w:rsidR="00047191" w:rsidRDefault="003F6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Il decreto approvato ad aprile prevede che i libri di testo </w:t>
      </w:r>
      <w:r>
        <w:rPr>
          <w:color w:val="000000"/>
        </w:rPr>
        <w:t xml:space="preserve">siano confermati. E’ necessario </w:t>
      </w:r>
      <w:r>
        <w:t>considerare</w:t>
      </w:r>
      <w:r>
        <w:rPr>
          <w:color w:val="000000"/>
        </w:rPr>
        <w:t xml:space="preserve"> l’aggiornamento di quelli che, modificati lo scorso anno o due anni fa, vanno a scorrimento nelle classi successive. Si delibera quindi la conferma dei seguenti libri di testo:</w:t>
      </w:r>
      <w:proofErr w:type="spellStart"/>
      <w:r>
        <w:rPr>
          <w:color w:val="000000"/>
        </w:rPr>
        <w:t>…………………………………</w:t>
      </w:r>
      <w:proofErr w:type="spellEnd"/>
      <w:r>
        <w:rPr>
          <w:color w:val="000000"/>
        </w:rPr>
        <w:t>.. Si delibera la modif</w:t>
      </w:r>
      <w:r>
        <w:rPr>
          <w:color w:val="000000"/>
        </w:rPr>
        <w:t>ica per scorrimento dei seguenti libri di testo:</w:t>
      </w:r>
      <w:proofErr w:type="spellStart"/>
      <w:r>
        <w:rPr>
          <w:color w:val="000000"/>
        </w:rPr>
        <w:t>…………………………………………</w:t>
      </w:r>
      <w:proofErr w:type="spellEnd"/>
      <w:r>
        <w:rPr>
          <w:color w:val="000000"/>
        </w:rPr>
        <w:t>.</w:t>
      </w:r>
    </w:p>
    <w:p w:rsidR="00047191" w:rsidRDefault="003F6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I seguenti progetti previsti per la classe in questo anno scolastico sono stat</w:t>
      </w:r>
      <w:r>
        <w:t>i</w:t>
      </w:r>
      <w:r>
        <w:rPr>
          <w:color w:val="000000"/>
        </w:rPr>
        <w:t xml:space="preserve"> regolarmente portati a temine:</w:t>
      </w:r>
      <w:proofErr w:type="spellStart"/>
      <w:r>
        <w:rPr>
          <w:color w:val="000000"/>
        </w:rPr>
        <w:t>…………………………………</w:t>
      </w:r>
      <w:proofErr w:type="spellEnd"/>
      <w:r>
        <w:rPr>
          <w:color w:val="000000"/>
        </w:rPr>
        <w:t>.. Non è stato possibile invece completare i seguenti progetti:</w:t>
      </w:r>
      <w:proofErr w:type="spellStart"/>
      <w:r>
        <w:rPr>
          <w:color w:val="000000"/>
        </w:rPr>
        <w:t>…………</w:t>
      </w:r>
      <w:proofErr w:type="spellEnd"/>
      <w:r>
        <w:rPr>
          <w:color w:val="000000"/>
        </w:rPr>
        <w:t>..</w:t>
      </w:r>
    </w:p>
    <w:p w:rsidR="00047191" w:rsidRDefault="003F6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Il Comitato genitori, con la collaborazione dell</w:t>
      </w:r>
      <w:r>
        <w:t>’Associazione Genitori,</w:t>
      </w:r>
      <w:r>
        <w:rPr>
          <w:color w:val="000000"/>
        </w:rPr>
        <w:t xml:space="preserve"> </w:t>
      </w:r>
      <w:r>
        <w:t xml:space="preserve">si occuperà dell’iniziativa. Si tratta di una composizione grafica di immagini. A breve i rappresentanti riceveranno comunicazione con i dettagli. </w:t>
      </w:r>
    </w:p>
    <w:p w:rsidR="00047191" w:rsidRDefault="003F6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Dal 4 maggio scorso è possibile a</w:t>
      </w:r>
      <w:r>
        <w:rPr>
          <w:color w:val="000000"/>
        </w:rPr>
        <w:t xml:space="preserve">ccedere a scuola. I docenti </w:t>
      </w:r>
      <w:r>
        <w:t>recupereranno il materiale personale degli studenti e lo lasceranno sui banchi diviso in sacchi o scatoloni recanti il nome del proprietario e la classe, quindi informeranno i rappresentanti che il materiale personale dei ragazz</w:t>
      </w:r>
      <w:r>
        <w:t xml:space="preserve">i è stato preparato. I rappresentanti dei genitori invieranno comunicazione tramite mail alla segreteria della scuola del giorno e l’ora in cui procederanno al </w:t>
      </w:r>
      <w:r>
        <w:rPr>
          <w:color w:val="000000"/>
        </w:rPr>
        <w:t xml:space="preserve"> ritiro. I collaboratori scolastici renderanno disponibile il ma</w:t>
      </w:r>
      <w:r>
        <w:t>teriale per i genitori all’ingre</w:t>
      </w:r>
      <w:r>
        <w:t>sso della scuola.</w:t>
      </w:r>
    </w:p>
    <w:p w:rsidR="00047191" w:rsidRDefault="003F6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Varie ed eventuali</w:t>
      </w:r>
    </w:p>
    <w:p w:rsidR="00047191" w:rsidRDefault="003F606B">
      <w:r>
        <w:t>IL COORDINATORE</w:t>
      </w:r>
      <w:r>
        <w:tab/>
      </w:r>
      <w:r>
        <w:tab/>
      </w:r>
      <w:r>
        <w:tab/>
      </w:r>
      <w:r>
        <w:tab/>
      </w:r>
      <w:r>
        <w:tab/>
        <w:t>IL SEGRETARIO</w:t>
      </w:r>
    </w:p>
    <w:p w:rsidR="00047191" w:rsidRDefault="003F606B">
      <w:r>
        <w:t>(.................................)</w:t>
      </w:r>
      <w:r>
        <w:tab/>
      </w:r>
      <w:r>
        <w:tab/>
      </w:r>
      <w:r>
        <w:tab/>
      </w:r>
      <w:r>
        <w:tab/>
      </w:r>
      <w:r>
        <w:tab/>
        <w:t>(.................................)</w:t>
      </w:r>
    </w:p>
    <w:p w:rsidR="00047191" w:rsidRDefault="00047191"/>
    <w:sectPr w:rsidR="00047191" w:rsidSect="0004719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6ACF"/>
    <w:multiLevelType w:val="multilevel"/>
    <w:tmpl w:val="84A2B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E992A0F"/>
    <w:multiLevelType w:val="multilevel"/>
    <w:tmpl w:val="F5D232BA"/>
    <w:lvl w:ilvl="0">
      <w:start w:val="1"/>
      <w:numFmt w:val="decimal"/>
      <w:lvlText w:val="%1."/>
      <w:lvlJc w:val="left"/>
      <w:pPr>
        <w:ind w:left="720" w:hanging="360"/>
      </w:pPr>
      <w:rPr>
        <w:rFonts w:ascii="Quattrocento Sans" w:eastAsia="Quattrocento Sans" w:hAnsi="Quattrocento Sans" w:cs="Quattrocento Sans"/>
        <w:color w:val="010101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047191"/>
    <w:rsid w:val="00047191"/>
    <w:rsid w:val="003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9A8"/>
  </w:style>
  <w:style w:type="paragraph" w:styleId="Titolo1">
    <w:name w:val="heading 1"/>
    <w:basedOn w:val="normal"/>
    <w:next w:val="normal"/>
    <w:rsid w:val="000471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471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471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471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DB3E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6">
    <w:name w:val="heading 6"/>
    <w:basedOn w:val="normal"/>
    <w:next w:val="normal"/>
    <w:rsid w:val="000471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47191"/>
  </w:style>
  <w:style w:type="table" w:customStyle="1" w:styleId="TableNormal">
    <w:name w:val="Table Normal"/>
    <w:rsid w:val="000471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47191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44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63BC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rsid w:val="00DB3E9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B3E9A"/>
    <w:rPr>
      <w:i/>
      <w:iCs/>
    </w:rPr>
  </w:style>
  <w:style w:type="character" w:styleId="Enfasigrassetto">
    <w:name w:val="Strong"/>
    <w:basedOn w:val="Carpredefinitoparagrafo"/>
    <w:uiPriority w:val="22"/>
    <w:qFormat/>
    <w:rsid w:val="00DB3E9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B3E9A"/>
    <w:rPr>
      <w:color w:val="0000FF"/>
      <w:u w:val="single"/>
    </w:rPr>
  </w:style>
  <w:style w:type="paragraph" w:styleId="Sottotitolo">
    <w:name w:val="Subtitle"/>
    <w:basedOn w:val="normal"/>
    <w:next w:val="normal"/>
    <w:rsid w:val="000471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71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sgattamelata.edu.it/wordpress/wp-content/uploads/2020/03/bozza_griglia_valutazione-Gattamelata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OiyFSBlp9CC/GTMNeDGKk9UGQ==">AMUW2mVcq+H99h1E3Py0+M8TZ+jO5KomzqcOAnnb+3wWusvsipZE4vebgIDk0drK3ahpkW54l6rG9cDYYfNicJ5R2WrTXGkDJR+FJy+tjkFNB33C1dVQwoA=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935</Words>
  <Characters>5332</Characters>
  <Application>Microsoft Office Word</Application>
  <DocSecurity>0</DocSecurity>
  <Lines>44</Lines>
  <Paragraphs>12</Paragraphs>
  <ScaleCrop>false</ScaleCrop>
  <Company>HP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Santoro</dc:creator>
  <cp:lastModifiedBy>Giovanni Santoro</cp:lastModifiedBy>
  <cp:revision>2</cp:revision>
  <dcterms:created xsi:type="dcterms:W3CDTF">2020-05-03T17:06:00Z</dcterms:created>
  <dcterms:modified xsi:type="dcterms:W3CDTF">2020-05-05T06:37:00Z</dcterms:modified>
</cp:coreProperties>
</file>