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419" w:hRule="atLeast"/>
        </w:trPr>
        <w:tc>
          <w:tcPr>
            <w:shd w:fill="d7e6f1" w:val="clear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ITALIANO CLASSE 2^</w:t>
            </w:r>
          </w:p>
        </w:tc>
      </w:tr>
      <w:tr>
        <w:trPr>
          <w:trHeight w:val="202" w:hRule="atLeast"/>
        </w:trP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469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Ascoltare e comprendere semplici testi mostrando di saperne cogliere il contenuto.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Interagire in modo pertinente nelle diverse situazioni comunicative.</w:t>
            </w:r>
          </w:p>
        </w:tc>
      </w:tr>
      <w:tr>
        <w:trPr>
          <w:trHeight w:val="268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 e comprendere le informazioni essenziali di un testo.</w:t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Scrivere sotto dettatura rispettando le fondamentali convenzioni ortografiche.</w:t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Produrre frasi o semplici testi di vario tipo. 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tcBorders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e utilizzare le regole ortografiche nell’elaborazione orale e scritta.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Ampliare il proprio bagaglio lessicale.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15" w:hRule="atLeast"/>
        </w:trPr>
        <w:tc>
          <w:tcPr>
            <w:shd w:fill="d7e6f1" w:val="clea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INGLESE- THIS IS ME       CLASSE 2^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Ascoltare e comprendere parole nuove e semplici storie illustrate. 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Comprendere ed eseguire semplici indicazioni.</w:t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Presentare se stesso.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Fare domande e rispondere su informazioni personali e di uso quotidiano.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.421874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 e comprendere parole nuove e semplici storie illustrate.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Scrivere utilizzando un modello di riferimento.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trHeight w:val="450" w:hRule="atLeast"/>
        </w:trPr>
        <w:tc>
          <w:tcPr>
            <w:shd w:fill="d7e6f1" w:val="clea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ANTROPOLOGIA     CLASSE 2^</w:t>
            </w:r>
          </w:p>
        </w:tc>
      </w:tr>
      <w:tr>
        <w:trPr>
          <w:trHeight w:val="283" w:hRule="atLeast"/>
        </w:trP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Acquisire senso di appartenenza e di identità sociale.</w:t>
            </w:r>
          </w:p>
        </w:tc>
      </w:tr>
      <w:tr>
        <w:trPr>
          <w:trHeight w:val="457.26562499999915" w:hRule="atLeast"/>
        </w:trPr>
        <w:tc>
          <w:tcPr>
            <w:tcBorders>
              <w:top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Rielaborare l’esperienza fantastica.</w:t>
            </w:r>
          </w:p>
        </w:tc>
      </w:tr>
      <w:tr>
        <w:trPr>
          <w:trHeight w:val="5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e utilizzare il lessico storico e geografico.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Ricavare informazioni sul passato, osservare ed analizzare fonti di diversa natura.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e rappresentare gli spazi e le loro funzioni.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 le caratteristiche dei diversi paesaggi.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315" w:hRule="atLeast"/>
        </w:trPr>
        <w:tc>
          <w:tcPr>
            <w:shd w:fill="d7e6f1" w:val="clea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MATEMATICA      CLASSE 2^</w:t>
            </w:r>
          </w:p>
        </w:tc>
      </w:tr>
      <w:tr>
        <w:trPr>
          <w:trHeight w:val="284" w:hRule="atLeast"/>
        </w:trP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PROPOSTI</w:t>
            </w:r>
          </w:p>
        </w:tc>
      </w:tr>
      <w:tr>
        <w:trPr>
          <w:trHeight w:val="556" w:hRule="atLeast"/>
        </w:trPr>
        <w:tc>
          <w:tcPr>
            <w:tcBorders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Leggere, scrivere, confrontare e ordinare i numeri entro il 100 in notazione decimale e posizionale.</w:t>
            </w:r>
          </w:p>
        </w:tc>
      </w:tr>
      <w:tr>
        <w:trPr>
          <w:trHeight w:val="624.5898437499999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Utilizzare strumenti e strategie per risolvere addizioni e sottrazioni nel calcolo orale e scritto, sia in riga che in colonna.</w:t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Rappresentare moltiplicazioni come addizione ripetuta per mezzo di schieramenti.</w:t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Rappresentare graficamente e risolvere situazioni problematiche che richiedono l’uso di addizioni e sottrazioni.</w:t>
            </w:r>
          </w:p>
        </w:tc>
      </w:tr>
      <w:tr>
        <w:trPr>
          <w:trHeight w:val="523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Riconoscere, raccogliere e rappresentare dati per piccole indagini, ricavare informazioni da grafici e tabelle.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Orientarsi nello spazio utilizzando percorsi su reticoli.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360" w:hRule="atLeast"/>
        </w:trPr>
        <w:tc>
          <w:tcPr>
            <w:shd w:fill="d7e6f1" w:val="clea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SCIENZE      CLASSE 2^</w:t>
            </w:r>
          </w:p>
        </w:tc>
      </w:tr>
      <w:tr>
        <w:trPr>
          <w:trHeight w:val="300" w:hRule="atLeast"/>
        </w:trP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Osservare, conoscere e descrivere i momenti significativi nella vita delle piante (germinazione)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.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Formulare ipotesi.</w:t>
            </w:r>
          </w:p>
        </w:tc>
      </w:tr>
      <w:tr>
        <w:trPr>
          <w:trHeight w:val="67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 e descrivere le principali caratteristiche dei viventi e la loro relazione con l’ambiente circostante.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540" w:hRule="atLeast"/>
        </w:trPr>
        <w:tc>
          <w:tcPr>
            <w:shd w:fill="d7e6f1" w:val="clear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TECNOLOGIA    CLASSE 2^</w:t>
            </w:r>
          </w:p>
          <w:p w:rsidR="00000000" w:rsidDel="00000000" w:rsidP="00000000" w:rsidRDefault="00000000" w:rsidRPr="00000000" w14:paraId="00000044">
            <w:pPr>
              <w:ind w:left="1898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46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Vedere, osservare e manipolare oggetti.</w:t>
            </w:r>
          </w:p>
        </w:tc>
      </w:tr>
      <w:tr>
        <w:trPr>
          <w:trHeight w:val="558.2812499999999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28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Effettuare stime, misurare e confrontare lunghezze di oggetti.</w:t>
            </w:r>
          </w:p>
        </w:tc>
      </w:tr>
      <w:tr>
        <w:trPr>
          <w:trHeight w:val="46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Applicare procedure di base per utilizzare i mezzi digitali.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trHeight w:val="415" w:hRule="atLeast"/>
        </w:trPr>
        <w:tc>
          <w:tcPr>
            <w:shd w:fill="d5e9f1" w:val="clear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MUSICA    CLASSE 2^</w:t>
            </w:r>
          </w:p>
        </w:tc>
      </w:tr>
      <w:t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Ascoltare e interpretare semplici storie sonore.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4218749999999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Esprimere con la voce, con il corpo e con strumenti non convenzionali semplici messaggi ritmici.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415" w:hRule="atLeast"/>
        </w:trPr>
        <w:tc>
          <w:tcPr>
            <w:shd w:fill="d5e9f1" w:val="clear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ARTE E IMMAGINE    CLASSE 2^</w:t>
            </w:r>
          </w:p>
        </w:tc>
      </w:tr>
      <w:tr>
        <w:trPr>
          <w:trHeight w:val="196" w:hRule="atLeast"/>
        </w:trPr>
        <w:tc>
          <w:tcPr>
            <w:shd w:fill="e7e6e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Esprimersi e comunicare con linee, colori, forme e materiali.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Osservare e leggere immagini e opere d’arte.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trHeight w:val="415" w:hRule="atLeast"/>
        </w:trPr>
        <w:tc>
          <w:tcPr>
            <w:shd w:fill="d5e9f1" w:val="clea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EDUCAZIONE MOTORIA     CLASSE 2^</w:t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Utilizzare i diversi schemi motori in relazione alle coordinate spaziali e temporali.</w:t>
            </w:r>
          </w:p>
        </w:tc>
      </w:tr>
      <w:tr>
        <w:trPr>
          <w:trHeight w:val="366.1328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Eseguire gesti e azioni con finalità espressive e percettive.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giochi di movimento pre sportivi e di squadra, cooperando e interagendo positivamente con gli altri.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55.0" w:type="dxa"/>
        <w:jc w:val="left"/>
        <w:tblInd w:w="0.0" w:type="dxa"/>
        <w:tblLayout w:type="fixed"/>
        <w:tblLook w:val="04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6f1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CITTADINANZA E COSTITUZIONE     CLASSE 2^</w:t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 i bisogni individuali, del gruppo e la funzione della regola.</w:t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Riconoscere il valore della tutela dell’ambiente e del territorio.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Acquisire familiarità con i dispositivi digitali.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96F25"/>
    <w:pPr>
      <w:spacing w:after="0" w:line="240" w:lineRule="auto"/>
    </w:pPr>
    <w:rPr>
      <w:rFonts w:asciiTheme="minorHAnsi" w:cstheme="minorBidi" w:eastAsiaTheme="minorEastAsia" w:hAnsiTheme="minorHAnsi"/>
      <w:sz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396F25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396F25"/>
    <w:pPr>
      <w:spacing w:after="0" w:line="240" w:lineRule="auto"/>
    </w:pPr>
    <w:rPr>
      <w:rFonts w:asciiTheme="minorHAnsi" w:cstheme="minorBidi" w:eastAsiaTheme="minorEastAsia" w:hAnsiTheme="minorHAnsi"/>
      <w:sz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uKm2KA4zGTvUD/h7Lf2L1Nozw==">AMUW2mWz8OOqZr4gMfavpyaDpJZfUeC2x0zBUoGTAfjdD6QAp1bQwy7ZU0HIGMCAIruQO2tGSPMCsesxm+nusmBpfx9g9j2gYiLmMioiiIo1rUNxeIvW+sMT27hD0i1fcbX4i0JUc9yQ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2021-04-20T09:32:00Z</dcterms:created>
  <dc:creator>Anna Cappenberg</dc:creator>
</cp:coreProperties>
</file>